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rFonts w:ascii="Calibri" w:hAnsi="Calibri"/>
          <w:b/>
          <w:color w:val="101C2C"/>
          <w:sz w:val="40"/>
          <w:szCs w:val="40"/>
        </w:rPr>
        <w:t xml:space="preserve">Sagiraju VSRK Varma</w:t>
      </w:r>
    </w:p>
    <w:p>
      <w:pPr>
        <w:jc w:val="center"/>
        <w:spacing w:before="0" w:after="40"/>
      </w:pPr>
      <w:r>
        <w:rPr>
          <w:rFonts w:ascii="Calibri" w:hAnsi="Calibri"/>
          <w:b/>
          <w:color w:val="2457A7"/>
          <w:sz w:val="21"/>
          <w:szCs w:val="21"/>
        </w:rPr>
        <w:t xml:space="preserve">Cost and Management Accountant (CMA, India) · Finance &amp; Taxation Professional</w:t>
      </w:r>
    </w:p>
    <w:p>
      <w:pPr>
        <w:jc w:val="center"/>
        <w:spacing w:before="0" w:after="60"/>
      </w:pPr>
      <w:r>
        <w:rPr>
          <w:rFonts w:ascii="Calibri" w:hAnsi="Calibri"/>
          <w:color w:val="5E6B7A"/>
          <w:sz w:val="17"/>
          <w:szCs w:val="17"/>
        </w:rPr>
        <w:t xml:space="preserve">Finance &amp; Accounting | Taxation | Financial Reporting | MIS &amp; Budgeting | Corporate Finance | Statutory Compliance</w:t>
      </w:r>
    </w:p>
    <w:p>
      <w:pPr>
        <w:jc w:val="center"/>
        <w:spacing w:before="0" w:after="80"/>
      </w:pPr>
      <w:r>
        <w:rPr>
          <w:rFonts w:ascii="Calibri" w:hAnsi="Calibri"/>
          <w:color w:val="182230"/>
          <w:sz w:val="17"/>
          <w:szCs w:val="17"/>
        </w:rPr>
        <w:t xml:space="preserve">8500613333 | cwa.varma@gmail.com | sri.samyu23@gmail.com | https://www.linkedin.com/in/sri-sam-881b38352</w:t>
      </w:r>
    </w:p>
    <w:p>
      <w:pPr>
        <w:pBdr>
          <w:bottom w:val="single" w:sz="4" w:space="2" w:color="DDE3EA"/>
        </w:pBdr>
        <w:spacing w:before="240" w:after="100"/>
      </w:pPr>
      <w:r>
        <w:rPr>
          <w:rFonts w:ascii="Calibri" w:hAnsi="Calibri"/>
          <w:b/>
          <w:color w:val="101C2C"/>
          <w:sz w:val="19"/>
          <w:szCs w:val="19"/>
        </w:rPr>
        <w:t xml:space="preserve">PROFESSIONAL SUMMARY</w:t>
      </w:r>
    </w:p>
    <w:p>
      <w:pPr>
        <w:spacing w:before="0" w:after="60"/>
      </w:pPr>
      <w:r>
        <w:rPr>
          <w:rFonts w:ascii="Calibri" w:hAnsi="Calibri"/>
          <w:color w:val="182230"/>
          <w:sz w:val="19"/>
          <w:szCs w:val="19"/>
        </w:rPr>
        <w:t xml:space="preserve">Result-oriented Finance and Taxation Professional with over 15 years of rich experience in accounting, financial management, and statutory compliance.</w:t>
      </w:r>
    </w:p>
    <w:p>
      <w:pPr>
        <w:spacing w:before="0" w:after="60"/>
      </w:pPr>
      <w:r>
        <w:rPr>
          <w:rFonts w:ascii="Calibri" w:hAnsi="Calibri"/>
          <w:color w:val="182230"/>
          <w:sz w:val="19"/>
          <w:szCs w:val="19"/>
        </w:rPr>
        <w:t xml:space="preserve">A qualified Cost and Management Accountant (CMA, India) with deep expertise in managing day-to-day accounting, direct and indirect taxation, and working capital optimization, with a proven focus on streamlining fixed asset management and anchoring internal, statutory, and tax audits.</w:t>
      </w:r>
    </w:p>
    <w:p>
      <w:pPr>
        <w:spacing w:before="0" w:after="60"/>
      </w:pPr>
      <w:r>
        <w:rPr>
          <w:rFonts w:ascii="Calibri" w:hAnsi="Calibri"/>
          <w:color w:val="182230"/>
          <w:sz w:val="19"/>
          <w:szCs w:val="19"/>
        </w:rPr>
        <w:t xml:space="preserve">Highly proficient in SAP, Tally, and advanced MS Office utilities, combining analytical precision with strategic insights to drive business performance and support executive decision-making.</w:t>
      </w:r>
    </w:p>
    <w:p>
      <w:pPr>
        <w:pBdr>
          <w:bottom w:val="single" w:sz="4" w:space="2" w:color="DDE3EA"/>
        </w:pBdr>
        <w:spacing w:before="240" w:after="100"/>
      </w:pPr>
      <w:r>
        <w:rPr>
          <w:rFonts w:ascii="Calibri" w:hAnsi="Calibri"/>
          <w:b/>
          <w:color w:val="101C2C"/>
          <w:sz w:val="19"/>
          <w:szCs w:val="19"/>
        </w:rPr>
        <w:t xml:space="preserve">PROFESSIONAL EXPERIENCE OVERVIEW</w:t>
      </w:r>
    </w:p>
    <w:p>
      <w:pPr>
        <w:spacing w:before="0" w:after="20"/>
      </w:pPr>
      <w:r>
        <w:rPr>
          <w:rFonts w:ascii="Calibri" w:hAnsi="Calibri"/>
          <w:b/>
          <w:color w:val="101C2C"/>
          <w:sz w:val="19"/>
          <w:szCs w:val="19"/>
        </w:rPr>
        <w:t xml:space="preserve">Financial Accounting &amp; Bookkeeping</w:t>
      </w:r>
    </w:p>
    <w:p>
      <w:pPr>
        <w:spacing w:before="0" w:after="70"/>
      </w:pPr>
      <w:r>
        <w:rPr>
          <w:rFonts w:ascii="Calibri" w:hAnsi="Calibri"/>
          <w:color w:val="182230"/>
          <w:sz w:val="19"/>
          <w:szCs w:val="19"/>
        </w:rPr>
        <w:t xml:space="preserve">Oversee end-to-end day-to-day accounting operations, maintaining accurate financial records and performing regular ledger and bank reconciliations.</w:t>
      </w:r>
    </w:p>
    <w:p>
      <w:pPr>
        <w:spacing w:before="0" w:after="20"/>
      </w:pPr>
      <w:r>
        <w:rPr>
          <w:rFonts w:ascii="Calibri" w:hAnsi="Calibri"/>
          <w:b/>
          <w:color w:val="101C2C"/>
          <w:sz w:val="19"/>
          <w:szCs w:val="19"/>
        </w:rPr>
        <w:t xml:space="preserve">MIS &amp; Budgeting</w:t>
      </w:r>
    </w:p>
    <w:p>
      <w:pPr>
        <w:spacing w:before="0" w:after="70"/>
      </w:pPr>
      <w:r>
        <w:rPr>
          <w:rFonts w:ascii="Calibri" w:hAnsi="Calibri"/>
          <w:color w:val="182230"/>
          <w:sz w:val="19"/>
          <w:szCs w:val="19"/>
        </w:rPr>
        <w:t xml:space="preserve">Design data-driven MIS reports to support senior management in strategic decision-making; lead annual budgeting processes and perform rigorous periodical variance analysis.</w:t>
      </w:r>
    </w:p>
    <w:p>
      <w:pPr>
        <w:spacing w:before="0" w:after="20"/>
      </w:pPr>
      <w:r>
        <w:rPr>
          <w:rFonts w:ascii="Calibri" w:hAnsi="Calibri"/>
          <w:b/>
          <w:color w:val="101C2C"/>
          <w:sz w:val="19"/>
          <w:szCs w:val="19"/>
        </w:rPr>
        <w:t xml:space="preserve">Taxation &amp; Compliance</w:t>
      </w:r>
    </w:p>
    <w:p>
      <w:pPr>
        <w:spacing w:before="0" w:after="70"/>
      </w:pPr>
      <w:r>
        <w:rPr>
          <w:rFonts w:ascii="Calibri" w:hAnsi="Calibri"/>
          <w:color w:val="182230"/>
          <w:sz w:val="19"/>
          <w:szCs w:val="19"/>
        </w:rPr>
        <w:t xml:space="preserve">Manage comprehensive corporate tax profiles including Direct Tax, Goods and Services Tax (GST) filing, and Tax Deducted at Source (TDS) compliance.</w:t>
      </w:r>
    </w:p>
    <w:p>
      <w:pPr>
        <w:spacing w:before="0" w:after="20"/>
      </w:pPr>
      <w:r>
        <w:rPr>
          <w:rFonts w:ascii="Calibri" w:hAnsi="Calibri"/>
          <w:b/>
          <w:color w:val="101C2C"/>
          <w:sz w:val="19"/>
          <w:szCs w:val="19"/>
        </w:rPr>
        <w:t xml:space="preserve">Fixed Assets Management</w:t>
      </w:r>
    </w:p>
    <w:p>
      <w:pPr>
        <w:spacing w:before="0" w:after="70"/>
      </w:pPr>
      <w:r>
        <w:rPr>
          <w:rFonts w:ascii="Calibri" w:hAnsi="Calibri"/>
          <w:color w:val="182230"/>
          <w:sz w:val="19"/>
          <w:szCs w:val="19"/>
        </w:rPr>
        <w:t xml:space="preserve">Supervise asset lifecycles by capitalising assets, tracking Capital Work-in-Progress (CWIP), defining capitalisation processes, and executing precise depreciation calculations.</w:t>
      </w:r>
    </w:p>
    <w:p>
      <w:pPr>
        <w:spacing w:before="0" w:after="20"/>
      </w:pPr>
      <w:r>
        <w:rPr>
          <w:rFonts w:ascii="Calibri" w:hAnsi="Calibri"/>
          <w:b/>
          <w:color w:val="101C2C"/>
          <w:sz w:val="19"/>
          <w:szCs w:val="19"/>
        </w:rPr>
        <w:t xml:space="preserve">Corporate Finance</w:t>
      </w:r>
    </w:p>
    <w:p>
      <w:pPr>
        <w:spacing w:before="0" w:after="70"/>
      </w:pPr>
      <w:r>
        <w:rPr>
          <w:rFonts w:ascii="Calibri" w:hAnsi="Calibri"/>
          <w:color w:val="182230"/>
          <w:sz w:val="19"/>
          <w:szCs w:val="19"/>
        </w:rPr>
        <w:t xml:space="preserve">Drive project finance initiatives, optimise working capital management, and handle Letters of Credit (LC) to support business liquidity.</w:t>
      </w:r>
    </w:p>
    <w:p>
      <w:pPr>
        <w:spacing w:before="0" w:after="20"/>
      </w:pPr>
      <w:r>
        <w:rPr>
          <w:rFonts w:ascii="Calibri" w:hAnsi="Calibri"/>
          <w:b/>
          <w:color w:val="101C2C"/>
          <w:sz w:val="19"/>
          <w:szCs w:val="19"/>
        </w:rPr>
        <w:t xml:space="preserve">Finalisation of Accounts</w:t>
      </w:r>
    </w:p>
    <w:p>
      <w:pPr>
        <w:spacing w:before="0" w:after="70"/>
      </w:pPr>
      <w:r>
        <w:rPr>
          <w:rFonts w:ascii="Calibri" w:hAnsi="Calibri"/>
          <w:color w:val="182230"/>
          <w:sz w:val="19"/>
          <w:szCs w:val="19"/>
        </w:rPr>
        <w:t xml:space="preserve">Lead the periodic finalisation of company accounts, ensuring accuracy, compliance with accounting standards, and timely closing.</w:t>
      </w:r>
    </w:p>
    <w:p>
      <w:pPr>
        <w:spacing w:before="0" w:after="20"/>
      </w:pPr>
      <w:r>
        <w:rPr>
          <w:rFonts w:ascii="Calibri" w:hAnsi="Calibri"/>
          <w:b/>
          <w:color w:val="101C2C"/>
          <w:sz w:val="19"/>
          <w:szCs w:val="19"/>
        </w:rPr>
        <w:t xml:space="preserve">Audit Coordination</w:t>
      </w:r>
    </w:p>
    <w:p>
      <w:pPr>
        <w:spacing w:before="0" w:after="70"/>
      </w:pPr>
      <w:r>
        <w:rPr>
          <w:rFonts w:ascii="Calibri" w:hAnsi="Calibri"/>
          <w:color w:val="182230"/>
          <w:sz w:val="19"/>
          <w:szCs w:val="19"/>
        </w:rPr>
        <w:t xml:space="preserve">Act as the primary liaison for Statutory, Internal, Tax, and Special auditors, efficiently resolving queries and fulfilling documentation requirements.</w:t>
      </w:r>
    </w:p>
    <w:p>
      <w:pPr>
        <w:pBdr>
          <w:bottom w:val="single" w:sz="4" w:space="2" w:color="DDE3EA"/>
        </w:pBdr>
        <w:spacing w:before="240" w:after="100"/>
      </w:pPr>
      <w:r>
        <w:rPr>
          <w:rFonts w:ascii="Calibri" w:hAnsi="Calibri"/>
          <w:b/>
          <w:color w:val="101C2C"/>
          <w:sz w:val="19"/>
          <w:szCs w:val="19"/>
        </w:rPr>
        <w:t xml:space="preserve">TAXATION &amp; STATUTORY COMPLIANCE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GST Return Filing</w:t>
      </w:r>
      <w:r>
        <w:rPr>
          <w:rFonts w:ascii="Calibri" w:hAnsi="Calibri"/>
          <w:color w:val="182230"/>
          <w:sz w:val="19"/>
          <w:szCs w:val="19"/>
        </w:rPr>
        <w:t xml:space="preserve">: Preparation and filing of Goods and Services Tax returns with attention to accuracy and due dates.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Income Tax Return Filing</w:t>
      </w:r>
      <w:r>
        <w:rPr>
          <w:rFonts w:ascii="Calibri" w:hAnsi="Calibri"/>
          <w:color w:val="182230"/>
          <w:sz w:val="19"/>
          <w:szCs w:val="19"/>
        </w:rPr>
        <w:t xml:space="preserve">: Preparation and filing of Income Tax Returns as part of ongoing direct tax compliance.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TDS Return Filing</w:t>
      </w:r>
      <w:r>
        <w:rPr>
          <w:rFonts w:ascii="Calibri" w:hAnsi="Calibri"/>
          <w:color w:val="182230"/>
          <w:sz w:val="19"/>
          <w:szCs w:val="19"/>
        </w:rPr>
        <w:t xml:space="preserve">: Tax Deducted at Source compliance including deduction, deposit, and periodic return filing.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Direct Tax</w:t>
      </w:r>
      <w:r>
        <w:rPr>
          <w:rFonts w:ascii="Calibri" w:hAnsi="Calibri"/>
          <w:color w:val="182230"/>
          <w:sz w:val="19"/>
          <w:szCs w:val="19"/>
        </w:rPr>
        <w:t xml:space="preserve">: Corporate direct tax compliance support, including advance tax and return-related work.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Indirect Tax</w:t>
      </w:r>
      <w:r>
        <w:rPr>
          <w:rFonts w:ascii="Calibri" w:hAnsi="Calibri"/>
          <w:color w:val="182230"/>
          <w:sz w:val="19"/>
          <w:szCs w:val="19"/>
        </w:rPr>
        <w:t xml:space="preserve">: Indirect tax processes centred on GST compliance, reconciliation, and documentation.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Statutory Compliance</w:t>
      </w:r>
      <w:r>
        <w:rPr>
          <w:rFonts w:ascii="Calibri" w:hAnsi="Calibri"/>
          <w:color w:val="182230"/>
          <w:sz w:val="19"/>
          <w:szCs w:val="19"/>
        </w:rPr>
        <w:t xml:space="preserve">: Maintenance of statutory registers, filings, and periodic compliance calendars.</w:t>
      </w:r>
    </w:p>
    <w:p>
      <w:pPr>
        <w:pBdr>
          <w:bottom w:val="single" w:sz="4" w:space="2" w:color="DDE3EA"/>
        </w:pBdr>
        <w:spacing w:before="240" w:after="100"/>
      </w:pPr>
      <w:r>
        <w:rPr>
          <w:rFonts w:ascii="Calibri" w:hAnsi="Calibri"/>
          <w:b/>
          <w:color w:val="101C2C"/>
          <w:sz w:val="19"/>
          <w:szCs w:val="19"/>
        </w:rPr>
        <w:t xml:space="preserve">FINANCIAL MANAGEMENT &amp; BUSINESS SUPPORT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MIS Reporting</w:t>
      </w:r>
      <w:r>
        <w:rPr>
          <w:rFonts w:ascii="Calibri" w:hAnsi="Calibri"/>
          <w:color w:val="182230"/>
          <w:sz w:val="19"/>
          <w:szCs w:val="19"/>
        </w:rPr>
        <w:t xml:space="preserve">: Periodic management reports that give leadership a clear view of financial performance.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Budget Preparation</w:t>
      </w:r>
      <w:r>
        <w:rPr>
          <w:rFonts w:ascii="Calibri" w:hAnsi="Calibri"/>
          <w:color w:val="182230"/>
          <w:sz w:val="19"/>
          <w:szCs w:val="19"/>
        </w:rPr>
        <w:t xml:space="preserve">: Annual budgeting structures that set clear financial targets for the business.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Variance Analysis</w:t>
      </w:r>
      <w:r>
        <w:rPr>
          <w:rFonts w:ascii="Calibri" w:hAnsi="Calibri"/>
          <w:color w:val="182230"/>
          <w:sz w:val="19"/>
          <w:szCs w:val="19"/>
        </w:rPr>
        <w:t xml:space="preserve">: Periodic comparison of actuals against budget to highlight deviations early.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Working Capital Management</w:t>
      </w:r>
      <w:r>
        <w:rPr>
          <w:rFonts w:ascii="Calibri" w:hAnsi="Calibri"/>
          <w:color w:val="182230"/>
          <w:sz w:val="19"/>
          <w:szCs w:val="19"/>
        </w:rPr>
        <w:t xml:space="preserve">: Attention to receivables, payables, and inventory cycles to support day-to-day liquidity.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Project Finance</w:t>
      </w:r>
      <w:r>
        <w:rPr>
          <w:rFonts w:ascii="Calibri" w:hAnsi="Calibri"/>
          <w:color w:val="182230"/>
          <w:sz w:val="19"/>
          <w:szCs w:val="19"/>
        </w:rPr>
        <w:t xml:space="preserve">: Support for project funding structures and their financial documentation.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Letter of Credit Management</w:t>
      </w:r>
      <w:r>
        <w:rPr>
          <w:rFonts w:ascii="Calibri" w:hAnsi="Calibri"/>
          <w:color w:val="182230"/>
          <w:sz w:val="19"/>
          <w:szCs w:val="19"/>
        </w:rPr>
        <w:t xml:space="preserve">: Handling of Letters of Credit to support smooth trade and payment cycles.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Financial Reporting</w:t>
      </w:r>
      <w:r>
        <w:rPr>
          <w:rFonts w:ascii="Calibri" w:hAnsi="Calibri"/>
          <w:color w:val="182230"/>
          <w:sz w:val="19"/>
          <w:szCs w:val="19"/>
        </w:rPr>
        <w:t xml:space="preserve">: Accurate financial statements and reports prepared in line with applicable standards.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• </w:t>
      </w:r>
      <w:r>
        <w:rPr>
          <w:rFonts w:ascii="Calibri" w:hAnsi="Calibri"/>
          <w:b/>
          <w:color w:val="182230"/>
          <w:sz w:val="19"/>
          <w:szCs w:val="19"/>
        </w:rPr>
        <w:t xml:space="preserve">Account Finalisation</w:t>
      </w:r>
      <w:r>
        <w:rPr>
          <w:rFonts w:ascii="Calibri" w:hAnsi="Calibri"/>
          <w:color w:val="182230"/>
          <w:sz w:val="19"/>
          <w:szCs w:val="19"/>
        </w:rPr>
        <w:t xml:space="preserve">: Structured periodic closing with a focus on accuracy and compliance.</w:t>
      </w:r>
    </w:p>
    <w:p>
      <w:pPr>
        <w:pBdr>
          <w:bottom w:val="single" w:sz="4" w:space="2" w:color="DDE3EA"/>
        </w:pBdr>
        <w:spacing w:before="240" w:after="100"/>
      </w:pPr>
      <w:r>
        <w:rPr>
          <w:rFonts w:ascii="Calibri" w:hAnsi="Calibri"/>
          <w:b/>
          <w:color w:val="101C2C"/>
          <w:sz w:val="19"/>
          <w:szCs w:val="19"/>
        </w:rPr>
        <w:t xml:space="preserve">AUDIT, FIXED ASSETS &amp; CONTROLS</w:t>
      </w:r>
    </w:p>
    <w:p>
      <w:pPr>
        <w:spacing w:before="0" w:after="60"/>
      </w:pPr>
      <w:r>
        <w:rPr>
          <w:rFonts w:ascii="Calibri" w:hAnsi="Calibri"/>
          <w:b/>
          <w:color w:val="182230"/>
          <w:sz w:val="19"/>
          <w:szCs w:val="19"/>
        </w:rPr>
        <w:t xml:space="preserve">Audit coordination: </w:t>
      </w:r>
      <w:r>
        <w:rPr>
          <w:rFonts w:ascii="Calibri" w:hAnsi="Calibri"/>
          <w:color w:val="182230"/>
          <w:sz w:val="19"/>
          <w:szCs w:val="19"/>
        </w:rPr>
        <w:t xml:space="preserve">Statutory audit coordination · Internal audit coordination · Tax audit coordination · Special audit coordination.</w:t>
      </w:r>
    </w:p>
    <w:p>
      <w:pPr>
        <w:spacing w:before="0" w:after="60"/>
      </w:pPr>
      <w:r>
        <w:rPr>
          <w:rFonts w:ascii="Calibri" w:hAnsi="Calibri"/>
          <w:b/>
          <w:color w:val="182230"/>
          <w:sz w:val="19"/>
          <w:szCs w:val="19"/>
        </w:rPr>
        <w:t xml:space="preserve">Fixed assets: </w:t>
      </w:r>
      <w:r>
        <w:rPr>
          <w:rFonts w:ascii="Calibri" w:hAnsi="Calibri"/>
          <w:color w:val="182230"/>
          <w:sz w:val="19"/>
          <w:szCs w:val="19"/>
        </w:rPr>
        <w:t xml:space="preserve">Fixed asset accounting · Asset capitalisation and CWIP · Depreciation calculations.</w:t>
      </w:r>
    </w:p>
    <w:p>
      <w:pPr>
        <w:spacing w:before="0" w:after="60"/>
      </w:pPr>
      <w:r>
        <w:rPr>
          <w:rFonts w:ascii="Calibri" w:hAnsi="Calibri"/>
          <w:b/>
          <w:color w:val="182230"/>
          <w:sz w:val="19"/>
          <w:szCs w:val="19"/>
        </w:rPr>
        <w:t xml:space="preserve">Process: </w:t>
      </w:r>
      <w:r>
        <w:rPr>
          <w:rFonts w:ascii="Calibri" w:hAnsi="Calibri"/>
          <w:color w:val="182230"/>
          <w:sz w:val="19"/>
          <w:szCs w:val="19"/>
        </w:rPr>
        <w:t xml:space="preserve">Liaison and coordination with audit teams · Query resolution and documentation · Support for audit schedules and supporting papers · Maintenance of financial accuracy and records · Timely reporting and closure.</w:t>
      </w:r>
    </w:p>
    <w:p>
      <w:pPr>
        <w:pBdr>
          <w:bottom w:val="single" w:sz="4" w:space="2" w:color="DDE3EA"/>
        </w:pBdr>
        <w:spacing w:before="240" w:after="100"/>
      </w:pPr>
      <w:r>
        <w:rPr>
          <w:rFonts w:ascii="Calibri" w:hAnsi="Calibri"/>
          <w:b/>
          <w:color w:val="101C2C"/>
          <w:sz w:val="19"/>
          <w:szCs w:val="19"/>
        </w:rPr>
        <w:t xml:space="preserve">SKILLS &amp; SOFTWARE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Finance and Accounting: </w:t>
      </w:r>
      <w:r>
        <w:rPr>
          <w:rFonts w:ascii="Calibri" w:hAnsi="Calibri"/>
          <w:color w:val="182230"/>
          <w:sz w:val="19"/>
          <w:szCs w:val="19"/>
        </w:rPr>
        <w:t xml:space="preserve">Financial Accounting, Bookkeeping, Ledger Reconciliation, Bank Reconciliation, Finalisation of Accounts, Financial Reporting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Taxation and Compliance: </w:t>
      </w:r>
      <w:r>
        <w:rPr>
          <w:rFonts w:ascii="Calibri" w:hAnsi="Calibri"/>
          <w:color w:val="182230"/>
          <w:sz w:val="19"/>
          <w:szCs w:val="19"/>
        </w:rPr>
        <w:t xml:space="preserve">GST, GST Return Filing, Income Tax Return Filing, TDS Compliance, Direct Tax, Indirect Tax, Statutory Compliance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Management Reporting: </w:t>
      </w:r>
      <w:r>
        <w:rPr>
          <w:rFonts w:ascii="Calibri" w:hAnsi="Calibri"/>
          <w:color w:val="182230"/>
          <w:sz w:val="19"/>
          <w:szCs w:val="19"/>
        </w:rPr>
        <w:t xml:space="preserve">MIS Reporting, Budgeting, Variance Analysis, Financial Analysis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Corporate Finance: </w:t>
      </w:r>
      <w:r>
        <w:rPr>
          <w:rFonts w:ascii="Calibri" w:hAnsi="Calibri"/>
          <w:color w:val="182230"/>
          <w:sz w:val="19"/>
          <w:szCs w:val="19"/>
        </w:rPr>
        <w:t xml:space="preserve">Working Capital Management, Project Finance, Letter of Credit Management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Fixed Assets: </w:t>
      </w:r>
      <w:r>
        <w:rPr>
          <w:rFonts w:ascii="Calibri" w:hAnsi="Calibri"/>
          <w:color w:val="182230"/>
          <w:sz w:val="19"/>
          <w:szCs w:val="19"/>
        </w:rPr>
        <w:t xml:space="preserve">Fixed Asset Management, Asset Capitalisation, Capital Work-in-Progress, Depreciation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Audit Coordination: </w:t>
      </w:r>
      <w:r>
        <w:rPr>
          <w:rFonts w:ascii="Calibri" w:hAnsi="Calibri"/>
          <w:color w:val="182230"/>
          <w:sz w:val="19"/>
          <w:szCs w:val="19"/>
        </w:rPr>
        <w:t xml:space="preserve">Statutory Audit Coordination, Internal Audit Coordination, Tax Audit Coordination, Special Audit Coordination</w:t>
      </w:r>
    </w:p>
    <w:p>
      <w:pPr>
        <w:spacing w:before="0" w:after="40"/>
      </w:pPr>
      <w:r>
        <w:rPr>
          <w:rFonts w:ascii="Calibri" w:hAnsi="Calibri"/>
          <w:b/>
          <w:color w:val="182230"/>
          <w:sz w:val="19"/>
          <w:szCs w:val="19"/>
        </w:rPr>
        <w:t xml:space="preserve">Software: </w:t>
      </w:r>
      <w:r>
        <w:rPr>
          <w:rFonts w:ascii="Calibri" w:hAnsi="Calibri"/>
          <w:color w:val="182230"/>
          <w:sz w:val="19"/>
          <w:szCs w:val="19"/>
        </w:rPr>
        <w:t xml:space="preserve">SAP, Tally, Microsoft Excel, Advanced MS Office</w:t>
      </w:r>
    </w:p>
    <w:p>
      <w:pPr>
        <w:pBdr>
          <w:bottom w:val="single" w:sz="4" w:space="2" w:color="DDE3EA"/>
        </w:pBdr>
        <w:spacing w:before="240" w:after="100"/>
      </w:pPr>
      <w:r>
        <w:rPr>
          <w:rFonts w:ascii="Calibri" w:hAnsi="Calibri"/>
          <w:b/>
          <w:color w:val="101C2C"/>
          <w:sz w:val="19"/>
          <w:szCs w:val="19"/>
        </w:rPr>
        <w:t xml:space="preserve">VALUE TO THE FINANCE FUNCTION</w:t>
      </w:r>
    </w:p>
    <w:p>
      <w:pPr>
        <w:spacing w:before="0" w:after="60"/>
      </w:pPr>
      <w:r>
        <w:rPr>
          <w:rFonts w:ascii="Calibri" w:hAnsi="Calibri"/>
          <w:color w:val="182230"/>
          <w:sz w:val="19"/>
          <w:szCs w:val="19"/>
        </w:rPr>
        <w:t xml:space="preserve">Analytical precision · Reliable financial records · Structured accounting operations · Statutory compliance · Management reporting · Working capital awareness · Fixed asset discipline · Audit coordination · Strategic insight for business decisions</w:t>
      </w:r>
    </w:p>
    <w:sectPr>
      <w:pgSz w:w="11906" w:h="16838"/>
      <w:pgMar w:top="850" w:right="850" w:bottom="850" w:left="85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Sagiraju VSRK Varma — Résumé</dc:title>
  <dc:creator>Sagiraju VSRK Varma</dc:creator>
  <cp:lastModifiedBy>Sagiraju VSRK Varma</cp:lastModifiedBy>
  <dc:description>Finance &amp; Taxation Professional</dc:description>
</cp:coreProperties>
</file>